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0674512B" w:rsidR="00844ADE" w:rsidRPr="00844ADE" w:rsidRDefault="00844ADE" w:rsidP="001D7C01">
      <w:pPr>
        <w:rPr>
          <w:b/>
          <w:sz w:val="20"/>
          <w:szCs w:val="20"/>
          <w:lang w:val="pt-BR"/>
        </w:rPr>
      </w:pPr>
    </w:p>
    <w:p w14:paraId="46F1A42C" w14:textId="728CDE56" w:rsidR="00844ADE" w:rsidRPr="00FC2DD7" w:rsidRDefault="00370D7C" w:rsidP="00370D7C">
      <w:pPr>
        <w:jc w:val="right"/>
        <w:rPr>
          <w:b/>
          <w:sz w:val="20"/>
          <w:szCs w:val="20"/>
          <w:lang w:val="ro-RO"/>
        </w:rPr>
      </w:pPr>
      <w:r w:rsidRPr="00FC2DD7">
        <w:rPr>
          <w:b/>
          <w:sz w:val="20"/>
          <w:szCs w:val="20"/>
          <w:lang w:val="ro-RO"/>
        </w:rPr>
        <w:t>Anexa Met</w:t>
      </w:r>
      <w:r w:rsidR="000B2FB6" w:rsidRPr="00FC2DD7">
        <w:rPr>
          <w:b/>
          <w:sz w:val="20"/>
          <w:szCs w:val="20"/>
          <w:lang w:val="ro-RO"/>
        </w:rPr>
        <w:t>_A.5.4.</w:t>
      </w:r>
      <w:r w:rsidR="00F27367" w:rsidRPr="00FC2DD7">
        <w:rPr>
          <w:b/>
          <w:sz w:val="20"/>
          <w:szCs w:val="20"/>
          <w:lang w:val="ro-RO"/>
        </w:rPr>
        <w:t>5</w:t>
      </w:r>
    </w:p>
    <w:p w14:paraId="697E28B7" w14:textId="571E0000" w:rsidR="009054C1" w:rsidRPr="00FC2DD7" w:rsidRDefault="009054C1" w:rsidP="009054C1">
      <w:pPr>
        <w:jc w:val="center"/>
        <w:rPr>
          <w:rFonts w:eastAsia="Times New Roman" w:cs="Arial"/>
          <w:b/>
          <w:sz w:val="20"/>
          <w:szCs w:val="20"/>
          <w:lang w:val="pt-BR"/>
        </w:rPr>
      </w:pPr>
    </w:p>
    <w:p w14:paraId="327D136B" w14:textId="77777777" w:rsidR="000B2FB6" w:rsidRPr="00FC2DD7" w:rsidRDefault="000B2FB6" w:rsidP="000B2FB6">
      <w:pPr>
        <w:jc w:val="center"/>
        <w:rPr>
          <w:rFonts w:eastAsia="Times New Roman" w:cs="Arial"/>
          <w:b/>
          <w:sz w:val="20"/>
          <w:szCs w:val="20"/>
          <w:lang w:val="pt-BR"/>
        </w:rPr>
      </w:pPr>
    </w:p>
    <w:p w14:paraId="20DE989A" w14:textId="77777777" w:rsidR="000B2FB6" w:rsidRPr="00FC2DD7" w:rsidRDefault="000B2FB6" w:rsidP="000B2FB6">
      <w:pPr>
        <w:jc w:val="both"/>
        <w:rPr>
          <w:rFonts w:cs="Arial"/>
          <w:color w:val="000000" w:themeColor="text1"/>
          <w:sz w:val="20"/>
          <w:szCs w:val="20"/>
          <w:lang w:val="pt-BR"/>
        </w:rPr>
      </w:pPr>
    </w:p>
    <w:p w14:paraId="16910DCF" w14:textId="77777777" w:rsidR="000B2FB6" w:rsidRPr="00FC2DD7" w:rsidRDefault="000B2FB6" w:rsidP="000B2FB6">
      <w:pPr>
        <w:jc w:val="both"/>
        <w:rPr>
          <w:rFonts w:cs="Arial"/>
          <w:color w:val="000000" w:themeColor="text1"/>
          <w:sz w:val="20"/>
          <w:szCs w:val="20"/>
          <w:lang w:val="pt-BR"/>
        </w:rPr>
      </w:pPr>
    </w:p>
    <w:p w14:paraId="38077B45" w14:textId="77777777" w:rsidR="00F27367" w:rsidRPr="00FC2DD7" w:rsidRDefault="00F27367" w:rsidP="00F27367">
      <w:pPr>
        <w:ind w:right="721"/>
        <w:jc w:val="center"/>
        <w:rPr>
          <w:rFonts w:eastAsiaTheme="minorHAnsi" w:cstheme="minorHAnsi"/>
          <w:b/>
          <w:bCs/>
          <w:lang w:val="pt-BR"/>
        </w:rPr>
      </w:pPr>
      <w:r w:rsidRPr="00FC2DD7">
        <w:rPr>
          <w:rFonts w:eastAsiaTheme="minorHAnsi" w:cstheme="minorHAnsi"/>
          <w:b/>
          <w:bCs/>
          <w:lang w:val="pt-BR"/>
        </w:rPr>
        <w:t>DECLARAŢIE CONFLICT DE INTERESE</w:t>
      </w:r>
    </w:p>
    <w:p w14:paraId="1210D891" w14:textId="77777777" w:rsidR="00F27367" w:rsidRPr="00FC2DD7" w:rsidRDefault="00F27367" w:rsidP="00F27367">
      <w:pPr>
        <w:jc w:val="both"/>
        <w:rPr>
          <w:rFonts w:eastAsiaTheme="minorHAnsi" w:cstheme="minorHAnsi"/>
          <w:lang w:val="pt-BR"/>
        </w:rPr>
      </w:pPr>
      <w:r w:rsidRPr="00FC2DD7">
        <w:rPr>
          <w:rFonts w:eastAsiaTheme="minorHAnsi" w:cstheme="minorHAnsi"/>
          <w:lang w:val="pt-BR"/>
        </w:rPr>
        <w:t xml:space="preserve">privind neîncadrarea în situațiile prevăzute la art. 14 și 15 din Ordonanța de urgență a Guvernului nr. 66/2011 privind prevenirea, constatarea și sancționarea neregulilor apărute în obținerea și utilizarea fondurilor europene și/sau a fondurilor publice naționale aferente acestora, cu modificările și completările ulterioare </w:t>
      </w:r>
    </w:p>
    <w:p w14:paraId="2B50E5A1" w14:textId="77777777" w:rsidR="00F27367" w:rsidRPr="00FC2DD7" w:rsidRDefault="00F27367" w:rsidP="00F27367">
      <w:pPr>
        <w:ind w:left="1287"/>
        <w:jc w:val="both"/>
        <w:rPr>
          <w:rFonts w:eastAsiaTheme="minorHAnsi" w:cstheme="minorHAnsi"/>
          <w:lang w:val="pt-BR"/>
        </w:rPr>
      </w:pPr>
      <w:r w:rsidRPr="00FC2DD7">
        <w:rPr>
          <w:rFonts w:eastAsiaTheme="minorHAnsi" w:cstheme="minorHAnsi"/>
          <w:lang w:val="pt-BR"/>
        </w:rPr>
        <w:t xml:space="preserve"> </w:t>
      </w:r>
    </w:p>
    <w:p w14:paraId="598618BE" w14:textId="29DF75D7" w:rsidR="00F27367" w:rsidRPr="00FC2DD7" w:rsidRDefault="00F27367" w:rsidP="00F27367">
      <w:pPr>
        <w:ind w:firstLine="541"/>
        <w:jc w:val="both"/>
        <w:rPr>
          <w:rFonts w:eastAsiaTheme="minorHAnsi" w:cstheme="minorHAnsi"/>
          <w:lang w:val="pt-BR"/>
        </w:rPr>
      </w:pPr>
      <w:r w:rsidRPr="00FC2DD7">
        <w:rPr>
          <w:rFonts w:eastAsiaTheme="minorHAnsi" w:cstheme="minorHAnsi"/>
          <w:lang w:val="pt-BR"/>
        </w:rPr>
        <w:t>Subsemnatul(a), ......................................, în calitate de Administrator la</w:t>
      </w:r>
      <w:r w:rsidRPr="00FC2DD7">
        <w:rPr>
          <w:rFonts w:eastAsiaTheme="minorHAnsi" w:cstheme="minorBidi"/>
          <w:lang w:val="pt-BR"/>
        </w:rPr>
        <w:t xml:space="preserve"> </w:t>
      </w:r>
      <w:r w:rsidRPr="00FC2DD7">
        <w:rPr>
          <w:rFonts w:eastAsiaTheme="minorHAnsi" w:cstheme="minorHAnsi"/>
          <w:lang w:val="pt-BR"/>
        </w:rPr>
        <w:t xml:space="preserve">...................................., referitor la </w:t>
      </w:r>
      <w:r w:rsidRPr="00FC2DD7">
        <w:rPr>
          <w:rFonts w:eastAsiaTheme="minorHAnsi" w:cstheme="minorHAnsi"/>
          <w:b/>
          <w:i/>
          <w:lang w:val="pt-BR"/>
        </w:rPr>
        <w:t>procedura de achiziție</w:t>
      </w:r>
      <w:r w:rsidRPr="00FC2DD7">
        <w:rPr>
          <w:lang w:val="pt-BR"/>
        </w:rPr>
        <w:t xml:space="preserve"> </w:t>
      </w:r>
      <w:r w:rsidRPr="00FC2DD7">
        <w:rPr>
          <w:rFonts w:eastAsiaTheme="minorHAnsi" w:cstheme="minorHAnsi"/>
          <w:b/>
          <w:i/>
          <w:lang w:val="pt-BR"/>
        </w:rPr>
        <w:t>............................................</w:t>
      </w:r>
      <w:r w:rsidRPr="00FC2DD7">
        <w:rPr>
          <w:rFonts w:eastAsiaTheme="minorHAnsi" w:cstheme="minorHAnsi"/>
          <w:lang w:val="pt-BR"/>
        </w:rPr>
        <w:t xml:space="preserve">, declar pe propria răspundere, sub sancțiunea falsului în declarații, așa cum este acesta prevăzut la </w:t>
      </w:r>
      <w:r w:rsidRPr="00FC2DD7">
        <w:rPr>
          <w:rFonts w:eastAsiaTheme="minorHAnsi" w:cstheme="minorHAnsi"/>
          <w:u w:val="single" w:color="0000FF"/>
          <w:lang w:val="pt-BR"/>
        </w:rPr>
        <w:t>art.</w:t>
      </w:r>
      <w:r w:rsidRPr="00FC2DD7">
        <w:rPr>
          <w:rFonts w:eastAsiaTheme="minorHAnsi" w:cstheme="minorHAnsi"/>
          <w:lang w:val="pt-BR"/>
        </w:rPr>
        <w:t xml:space="preserve"> </w:t>
      </w:r>
      <w:r w:rsidRPr="00FC2DD7">
        <w:rPr>
          <w:rFonts w:eastAsiaTheme="minorHAnsi" w:cstheme="minorHAnsi"/>
          <w:u w:val="single" w:color="0000FF"/>
          <w:lang w:val="pt-BR"/>
        </w:rPr>
        <w:t>326 din Legea nr. 286/2009</w:t>
      </w:r>
      <w:r w:rsidRPr="00FC2DD7">
        <w:rPr>
          <w:rFonts w:eastAsiaTheme="minorHAnsi" w:cstheme="minorHAnsi"/>
          <w:lang w:val="pt-BR"/>
        </w:rPr>
        <w:t xml:space="preserve"> privind Codul penal, cu modificările și completările ulterioare, că nu mă încadrez în ipotezele descrise la </w:t>
      </w:r>
      <w:r w:rsidRPr="00FC2DD7">
        <w:rPr>
          <w:rFonts w:eastAsiaTheme="minorHAnsi" w:cstheme="minorHAnsi"/>
          <w:u w:val="single" w:color="0000FF"/>
          <w:lang w:val="pt-BR"/>
        </w:rPr>
        <w:t xml:space="preserve">art. 14 și art. 15 din Ordonanța de urgenta a Guvernului nr. 66/2011 </w:t>
      </w:r>
      <w:r w:rsidRPr="00FC2DD7">
        <w:rPr>
          <w:rFonts w:eastAsiaTheme="minorHAnsi" w:cstheme="minorHAnsi"/>
          <w:lang w:val="pt-BR"/>
        </w:rPr>
        <w:t xml:space="preserve">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Extras OUG 66/2011: </w:t>
      </w:r>
    </w:p>
    <w:p w14:paraId="08702744" w14:textId="77777777" w:rsidR="00F27367" w:rsidRPr="00FC2DD7" w:rsidRDefault="00F27367" w:rsidP="00F27367">
      <w:pPr>
        <w:keepNext/>
        <w:keepLines/>
        <w:ind w:left="561" w:right="37"/>
        <w:jc w:val="both"/>
        <w:outlineLvl w:val="1"/>
        <w:rPr>
          <w:rFonts w:eastAsiaTheme="majorEastAsia" w:cstheme="minorHAnsi"/>
          <w:b/>
          <w:bCs/>
          <w:lang w:val="ro-RO"/>
        </w:rPr>
      </w:pPr>
      <w:r w:rsidRPr="00FC2DD7">
        <w:rPr>
          <w:rFonts w:eastAsiaTheme="majorEastAsia" w:cstheme="minorHAnsi"/>
          <w:b/>
          <w:bCs/>
          <w:i/>
          <w:lang w:val="ro-RO"/>
        </w:rPr>
        <w:t xml:space="preserve">Art. 14 </w:t>
      </w:r>
      <w:r w:rsidRPr="00FC2DD7">
        <w:rPr>
          <w:rFonts w:eastAsiaTheme="majorEastAsia" w:cstheme="minorHAnsi"/>
          <w:i/>
          <w:color w:val="365F91" w:themeColor="accent1" w:themeShade="BF"/>
          <w:lang w:val="pt-BR"/>
        </w:rPr>
        <w:t xml:space="preserve">“(1) 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 (2) Încălcarea prevederilor alin. (1) se sancționează cu deduceri/excluderi din cheltuielile solicitate la plată/rambursare, în funcție de prejudiciul posibil de provocat ori deja provocat fondurilor europene și/sau fondurilor publice naționale aferente acestora.” </w:t>
      </w:r>
    </w:p>
    <w:p w14:paraId="519F00F1" w14:textId="77777777" w:rsidR="00F27367" w:rsidRPr="00FC2DD7" w:rsidRDefault="00F27367" w:rsidP="00F27367">
      <w:pPr>
        <w:keepNext/>
        <w:keepLines/>
        <w:ind w:left="561" w:right="37"/>
        <w:jc w:val="both"/>
        <w:outlineLvl w:val="1"/>
        <w:rPr>
          <w:rFonts w:eastAsiaTheme="majorEastAsia" w:cstheme="minorHAnsi"/>
          <w:i/>
          <w:lang w:val="ro-RO"/>
        </w:rPr>
      </w:pPr>
      <w:r w:rsidRPr="00FC2DD7">
        <w:rPr>
          <w:rFonts w:eastAsiaTheme="majorEastAsia" w:cstheme="minorHAnsi"/>
          <w:i/>
          <w:lang w:val="ro-RO"/>
        </w:rPr>
        <w:t xml:space="preserve">Art. 15 </w:t>
      </w:r>
      <w:r w:rsidRPr="00FC2DD7">
        <w:rPr>
          <w:rFonts w:eastAsiaTheme="majorEastAsia" w:cstheme="majorHAnsi"/>
          <w:i/>
          <w:color w:val="365F91" w:themeColor="accent1" w:themeShade="BF"/>
          <w:lang w:val="ro-RO"/>
        </w:rPr>
        <w:t>„ (1) La depunerea ofertei în cadrul unei proceduri de achiziții, ofertantul este obligat să depună o declarație conform căreia nu se află în conflict de interese, așa cum este acesta definit la art. 14. (2) Dacă apare o situație de conflict de interese pe perioada derulării procedurii de achiziție, ofertantul are obligația să notifice în scris, de îndată, entitatea care a organizat această procedură și să ia măsuri pentru înlăturarea situației respective.”</w:t>
      </w:r>
      <w:r w:rsidRPr="00FC2DD7">
        <w:rPr>
          <w:rFonts w:eastAsiaTheme="majorEastAsia" w:cstheme="minorHAnsi"/>
          <w:i/>
          <w:color w:val="365F91" w:themeColor="accent1" w:themeShade="BF"/>
          <w:lang w:val="ro-RO"/>
        </w:rPr>
        <w:t xml:space="preserve"> </w:t>
      </w:r>
    </w:p>
    <w:p w14:paraId="5BF401F4" w14:textId="63B8DEC2" w:rsidR="00F27367" w:rsidRPr="00FC2DD7" w:rsidRDefault="00F27367" w:rsidP="00F27367">
      <w:pPr>
        <w:jc w:val="both"/>
        <w:rPr>
          <w:rFonts w:eastAsiaTheme="minorHAnsi" w:cstheme="minorHAnsi"/>
          <w:lang w:val="pt-BR"/>
        </w:rPr>
      </w:pPr>
      <w:r w:rsidRPr="00FC2DD7">
        <w:rPr>
          <w:rFonts w:eastAsiaTheme="minorHAnsi" w:cstheme="minorHAnsi"/>
          <w:lang w:val="ro-RO"/>
        </w:rPr>
        <w:tab/>
      </w:r>
      <w:r w:rsidRPr="00FC2DD7">
        <w:rPr>
          <w:rFonts w:eastAsiaTheme="minorHAnsi" w:cstheme="minorHAnsi"/>
          <w:lang w:val="pt-BR"/>
        </w:rPr>
        <w:t>Subsemnatul(a), ............................., declar că voi informa imediat</w:t>
      </w:r>
      <w:r w:rsidRPr="00FC2DD7">
        <w:rPr>
          <w:rFonts w:eastAsiaTheme="minorHAnsi" w:cstheme="minorHAnsi"/>
          <w:b/>
          <w:lang w:val="pt-BR"/>
        </w:rPr>
        <w:t xml:space="preserve"> ...</w:t>
      </w:r>
      <w:r w:rsidRPr="00FC2DD7">
        <w:rPr>
          <w:rFonts w:eastAsiaTheme="minorHAnsi" w:cstheme="minorHAnsi"/>
          <w:b/>
          <w:color w:val="EE0000"/>
          <w:lang w:val="pt-BR"/>
        </w:rPr>
        <w:t>firma beneficiar</w:t>
      </w:r>
      <w:r w:rsidRPr="00FC2DD7">
        <w:rPr>
          <w:rFonts w:eastAsiaTheme="minorHAnsi" w:cstheme="minorHAnsi"/>
          <w:b/>
          <w:lang w:val="pt-BR"/>
        </w:rPr>
        <w:t>...</w:t>
      </w:r>
      <w:r w:rsidRPr="00FC2DD7">
        <w:rPr>
          <w:rFonts w:eastAsiaTheme="minorHAnsi" w:cstheme="minorHAnsi"/>
          <w:lang w:val="pt-BR"/>
        </w:rPr>
        <w:t xml:space="preserve">, dacă vor interveni modificări în prezenta declarație. </w:t>
      </w:r>
    </w:p>
    <w:p w14:paraId="3AFBD6C4" w14:textId="777D6D57" w:rsidR="00F27367" w:rsidRPr="00FC2DD7" w:rsidRDefault="00F27367" w:rsidP="00F27367">
      <w:pPr>
        <w:ind w:right="1" w:firstLine="720"/>
        <w:jc w:val="both"/>
        <w:rPr>
          <w:rFonts w:eastAsiaTheme="minorHAnsi" w:cstheme="minorHAnsi"/>
          <w:lang w:val="pt-BR"/>
        </w:rPr>
      </w:pPr>
      <w:r w:rsidRPr="00FC2DD7">
        <w:rPr>
          <w:rFonts w:eastAsiaTheme="minorHAnsi" w:cstheme="minorHAnsi"/>
          <w:lang w:val="pt-BR"/>
        </w:rPr>
        <w:t xml:space="preserve">De asemenea, declar că informațiile furnizate sunt complete și corecte în fiecare detaliu și înțeleg că </w:t>
      </w:r>
      <w:r w:rsidRPr="00FC2DD7">
        <w:rPr>
          <w:rFonts w:eastAsiaTheme="minorHAnsi" w:cstheme="minorHAnsi"/>
          <w:b/>
          <w:lang w:val="pt-BR"/>
        </w:rPr>
        <w:t>...firma beneficiar................</w:t>
      </w:r>
      <w:r w:rsidRPr="00FC2DD7">
        <w:rPr>
          <w:rFonts w:eastAsiaTheme="minorHAnsi" w:cstheme="minorHAnsi"/>
          <w:lang w:val="pt-BR"/>
        </w:rPr>
        <w:t xml:space="preserve">are dreptul de a solicita, în scopul verificării și confirmării declarației, orice informații suplimentare.     </w:t>
      </w:r>
    </w:p>
    <w:p w14:paraId="6A6AF0F8" w14:textId="77777777" w:rsidR="00F27367" w:rsidRPr="00FC2DD7" w:rsidRDefault="00F27367" w:rsidP="00F27367">
      <w:pPr>
        <w:ind w:right="1" w:firstLine="710"/>
        <w:jc w:val="both"/>
        <w:rPr>
          <w:rFonts w:eastAsiaTheme="minorHAnsi" w:cstheme="minorHAnsi"/>
          <w:lang w:val="pt-BR"/>
        </w:rPr>
      </w:pPr>
      <w:r w:rsidRPr="00FC2DD7">
        <w:rPr>
          <w:rFonts w:eastAsiaTheme="minorHAnsi" w:cstheme="minorHAnsi"/>
          <w:lang w:val="pt-BR"/>
        </w:rPr>
        <w:t xml:space="preserve">Înțeleg că în cazul în care această declarație nu este conformă cu realitatea sunt pasibil de încălcarea prevederilor legislației penale privind falsul în declarații.              </w:t>
      </w:r>
    </w:p>
    <w:p w14:paraId="23AB5D25" w14:textId="77777777" w:rsidR="00F27367" w:rsidRPr="00FC2DD7" w:rsidRDefault="00F27367" w:rsidP="00F27367">
      <w:pPr>
        <w:ind w:right="1"/>
        <w:rPr>
          <w:rFonts w:eastAsiaTheme="minorHAnsi" w:cstheme="minorHAnsi"/>
          <w:lang w:val="pt-BR"/>
        </w:rPr>
      </w:pPr>
    </w:p>
    <w:p w14:paraId="0021225F" w14:textId="790283EC" w:rsidR="00F27367" w:rsidRPr="00FC2DD7" w:rsidRDefault="00F27367" w:rsidP="00F27367">
      <w:pPr>
        <w:ind w:right="1"/>
        <w:rPr>
          <w:rFonts w:eastAsiaTheme="minorHAnsi" w:cstheme="minorHAnsi"/>
          <w:lang w:val="pt-BR"/>
        </w:rPr>
      </w:pPr>
      <w:r w:rsidRPr="00FC2DD7">
        <w:rPr>
          <w:rFonts w:eastAsiaTheme="minorHAnsi" w:cstheme="minorHAnsi"/>
          <w:lang w:val="pt-BR"/>
        </w:rPr>
        <w:t xml:space="preserve">Data: </w:t>
      </w:r>
      <w:r w:rsidRPr="00FC2DD7">
        <w:rPr>
          <w:rFonts w:eastAsiaTheme="minorHAnsi" w:cstheme="minorHAnsi"/>
          <w:b/>
          <w:lang w:val="pt-BR"/>
        </w:rPr>
        <w:t xml:space="preserve">………………………….                                 </w:t>
      </w:r>
      <w:r w:rsidRPr="00FC2DD7">
        <w:rPr>
          <w:rFonts w:eastAsiaTheme="minorHAnsi" w:cstheme="minorHAnsi"/>
          <w:lang w:val="pt-BR"/>
        </w:rPr>
        <w:t>în calitate de Administrator la</w:t>
      </w:r>
      <w:r w:rsidRPr="00FC2DD7">
        <w:rPr>
          <w:rFonts w:eastAsiaTheme="minorHAnsi" w:cstheme="minorBidi"/>
          <w:lang w:val="pt-BR"/>
        </w:rPr>
        <w:t xml:space="preserve"> </w:t>
      </w:r>
      <w:r w:rsidRPr="00FC2DD7">
        <w:rPr>
          <w:rFonts w:eastAsiaTheme="minorHAnsi" w:cstheme="minorHAnsi"/>
          <w:lang w:val="pt-BR"/>
        </w:rPr>
        <w:t>.............................. SRL</w:t>
      </w:r>
    </w:p>
    <w:p w14:paraId="39E8B6E9" w14:textId="77777777" w:rsidR="000B2FB6" w:rsidRPr="00FC2DD7" w:rsidRDefault="000B2FB6" w:rsidP="00F27367">
      <w:pPr>
        <w:jc w:val="both"/>
        <w:rPr>
          <w:rFonts w:cs="Arial"/>
          <w:color w:val="000000" w:themeColor="text1"/>
          <w:sz w:val="24"/>
          <w:szCs w:val="24"/>
          <w:lang w:val="pt-BR"/>
        </w:rPr>
      </w:pPr>
    </w:p>
    <w:sectPr w:rsidR="000B2FB6" w:rsidRPr="00FC2DD7" w:rsidSect="009054C1">
      <w:headerReference w:type="default" r:id="rId7"/>
      <w:footerReference w:type="default" r:id="rId8"/>
      <w:pgSz w:w="11910" w:h="16850"/>
      <w:pgMar w:top="1080" w:right="840" w:bottom="1140" w:left="13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3062" w14:textId="77777777" w:rsidR="00416641" w:rsidRDefault="00416641">
      <w:r>
        <w:separator/>
      </w:r>
    </w:p>
  </w:endnote>
  <w:endnote w:type="continuationSeparator" w:id="0">
    <w:p w14:paraId="08DAA084" w14:textId="77777777" w:rsidR="00416641" w:rsidRDefault="0041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Body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223529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12533879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44801773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FC2DD7">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2456" w14:textId="77777777" w:rsidR="00416641" w:rsidRDefault="00416641">
      <w:r>
        <w:separator/>
      </w:r>
    </w:p>
  </w:footnote>
  <w:footnote w:type="continuationSeparator" w:id="0">
    <w:p w14:paraId="7BB8E861" w14:textId="77777777" w:rsidR="00416641" w:rsidRDefault="0041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3C4D539D"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5CBAEF00">
          <wp:simplePos x="0" y="0"/>
          <wp:positionH relativeFrom="column">
            <wp:posOffset>4810125</wp:posOffset>
          </wp:positionH>
          <wp:positionV relativeFrom="paragraph">
            <wp:posOffset>121285</wp:posOffset>
          </wp:positionV>
          <wp:extent cx="704850" cy="561975"/>
          <wp:effectExtent l="0" t="0" r="0" b="9525"/>
          <wp:wrapNone/>
          <wp:docPr id="193665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27076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26B87AE7" w:rsidR="001D7C01" w:rsidRPr="001D7C01" w:rsidRDefault="001D7C01" w:rsidP="001D7C01">
    <w:pPr>
      <w:pStyle w:val="Header"/>
      <w:ind w:left="-993"/>
      <w:jc w:val="center"/>
      <w:rPr>
        <w:lang w:val="pt-BR"/>
      </w:rPr>
    </w:pPr>
  </w:p>
  <w:p w14:paraId="68FB95A1" w14:textId="16023867" w:rsidR="001D7C01" w:rsidRPr="001D7C01" w:rsidRDefault="001D7C01" w:rsidP="001D7C01">
    <w:pPr>
      <w:spacing w:line="276" w:lineRule="auto"/>
      <w:jc w:val="both"/>
      <w:rPr>
        <w:bCs/>
        <w:i/>
        <w:iCs/>
        <w:sz w:val="12"/>
        <w:szCs w:val="12"/>
        <w:lang w:val="pt-BR"/>
      </w:rPr>
    </w:pPr>
  </w:p>
  <w:p w14:paraId="16A82BD0" w14:textId="2C31C85A"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4B03160A" w:rsidR="001D7C01" w:rsidRPr="001D7C01" w:rsidRDefault="001D7C01" w:rsidP="001D7C01">
    <w:pPr>
      <w:spacing w:line="276" w:lineRule="auto"/>
      <w:jc w:val="both"/>
      <w:rPr>
        <w:bCs/>
        <w:i/>
        <w:iCs/>
        <w:sz w:val="12"/>
        <w:szCs w:val="12"/>
        <w:lang w:val="pt-BR"/>
      </w:rPr>
    </w:pPr>
  </w:p>
  <w:p w14:paraId="03A6E2B7" w14:textId="416DDD12" w:rsidR="001D7C01" w:rsidRPr="001D7C01" w:rsidRDefault="001D7C0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4"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5"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9"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abstractNum w:abstractNumId="10"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9800">
    <w:abstractNumId w:val="4"/>
  </w:num>
  <w:num w:numId="2" w16cid:durableId="1927690490">
    <w:abstractNumId w:val="3"/>
  </w:num>
  <w:num w:numId="3" w16cid:durableId="1485512050">
    <w:abstractNumId w:val="8"/>
  </w:num>
  <w:num w:numId="4" w16cid:durableId="878780015">
    <w:abstractNumId w:val="9"/>
  </w:num>
  <w:num w:numId="5" w16cid:durableId="759717059">
    <w:abstractNumId w:val="1"/>
  </w:num>
  <w:num w:numId="6" w16cid:durableId="1545171107">
    <w:abstractNumId w:val="6"/>
  </w:num>
  <w:num w:numId="7" w16cid:durableId="196092065">
    <w:abstractNumId w:val="7"/>
  </w:num>
  <w:num w:numId="8" w16cid:durableId="424351473">
    <w:abstractNumId w:val="0"/>
  </w:num>
  <w:num w:numId="9" w16cid:durableId="398870400">
    <w:abstractNumId w:val="5"/>
  </w:num>
  <w:num w:numId="10" w16cid:durableId="518470273">
    <w:abstractNumId w:val="2"/>
  </w:num>
  <w:num w:numId="11" w16cid:durableId="686637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0B2FB6"/>
    <w:rsid w:val="00177436"/>
    <w:rsid w:val="001D7C01"/>
    <w:rsid w:val="002402BD"/>
    <w:rsid w:val="002A744D"/>
    <w:rsid w:val="002C6008"/>
    <w:rsid w:val="002D2B2C"/>
    <w:rsid w:val="00322205"/>
    <w:rsid w:val="00360C48"/>
    <w:rsid w:val="00370D7C"/>
    <w:rsid w:val="00386AC6"/>
    <w:rsid w:val="00416641"/>
    <w:rsid w:val="004202D3"/>
    <w:rsid w:val="00460864"/>
    <w:rsid w:val="005135A2"/>
    <w:rsid w:val="005A1218"/>
    <w:rsid w:val="00603DF8"/>
    <w:rsid w:val="00636A04"/>
    <w:rsid w:val="006370F9"/>
    <w:rsid w:val="00657D6E"/>
    <w:rsid w:val="0076107A"/>
    <w:rsid w:val="007900CA"/>
    <w:rsid w:val="00827A2F"/>
    <w:rsid w:val="00844ADE"/>
    <w:rsid w:val="0085302D"/>
    <w:rsid w:val="008C320E"/>
    <w:rsid w:val="008D7CDA"/>
    <w:rsid w:val="009054C1"/>
    <w:rsid w:val="00906510"/>
    <w:rsid w:val="00923753"/>
    <w:rsid w:val="009608A7"/>
    <w:rsid w:val="009E20AE"/>
    <w:rsid w:val="009F6B48"/>
    <w:rsid w:val="00A41501"/>
    <w:rsid w:val="00AD2E2F"/>
    <w:rsid w:val="00BA2E8D"/>
    <w:rsid w:val="00BB00E7"/>
    <w:rsid w:val="00BB3BD8"/>
    <w:rsid w:val="00C00A94"/>
    <w:rsid w:val="00C8585D"/>
    <w:rsid w:val="00C93DC2"/>
    <w:rsid w:val="00D0554F"/>
    <w:rsid w:val="00D22E29"/>
    <w:rsid w:val="00D33D48"/>
    <w:rsid w:val="00D64E0B"/>
    <w:rsid w:val="00DE334D"/>
    <w:rsid w:val="00DF7A3A"/>
    <w:rsid w:val="00E84DAC"/>
    <w:rsid w:val="00E859C5"/>
    <w:rsid w:val="00ED60AF"/>
    <w:rsid w:val="00EF50F6"/>
    <w:rsid w:val="00F203E4"/>
    <w:rsid w:val="00F27367"/>
    <w:rsid w:val="00F55F44"/>
    <w:rsid w:val="00F806A8"/>
    <w:rsid w:val="00F8343D"/>
    <w:rsid w:val="00FB0D05"/>
    <w:rsid w:val="00FC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1D7C01"/>
    <w:pPr>
      <w:tabs>
        <w:tab w:val="center" w:pos="4680"/>
        <w:tab w:val="right" w:pos="9360"/>
      </w:tabs>
    </w:pPr>
  </w:style>
  <w:style w:type="character" w:customStyle="1" w:styleId="HeaderChar">
    <w:name w:val="Header Char"/>
    <w:basedOn w:val="DefaultParagraphFont"/>
    <w:link w:val="Header"/>
    <w:rsid w:val="001D7C01"/>
    <w:rPr>
      <w:rFonts w:ascii="Trebuchet MS" w:eastAsia="Trebuchet MS" w:hAnsi="Trebuchet MS" w:cs="Trebuchet MS"/>
    </w:rPr>
  </w:style>
  <w:style w:type="paragraph" w:styleId="Footer">
    <w:name w:val="footer"/>
    <w:basedOn w:val="Normal"/>
    <w:link w:val="FooterChar"/>
    <w:uiPriority w:val="99"/>
    <w:unhideWhenUsed/>
    <w:rsid w:val="001D7C01"/>
    <w:pPr>
      <w:tabs>
        <w:tab w:val="center" w:pos="4680"/>
        <w:tab w:val="right" w:pos="9360"/>
      </w:tabs>
    </w:pPr>
  </w:style>
  <w:style w:type="character" w:customStyle="1" w:styleId="FooterChar">
    <w:name w:val="Footer Char"/>
    <w:basedOn w:val="DefaultParagraphFont"/>
    <w:link w:val="Footer"/>
    <w:uiPriority w:val="99"/>
    <w:rsid w:val="001D7C01"/>
    <w:rPr>
      <w:rFonts w:ascii="Trebuchet MS" w:eastAsia="Trebuchet MS" w:hAnsi="Trebuchet MS" w:cs="Trebuchet MS"/>
    </w:rPr>
  </w:style>
  <w:style w:type="table" w:styleId="TableGrid">
    <w:name w:val="Table Grid"/>
    <w:basedOn w:val="Table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5A2"/>
    <w:pPr>
      <w:widowControl/>
      <w:adjustRightInd w:val="0"/>
    </w:pPr>
    <w:rPr>
      <w:rFonts w:ascii="Times New Roman" w:eastAsia="Calibri"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614</Words>
  <Characters>3503</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GeorgianaPC</cp:lastModifiedBy>
  <cp:revision>4</cp:revision>
  <dcterms:created xsi:type="dcterms:W3CDTF">2025-09-10T22:33:00Z</dcterms:created>
  <dcterms:modified xsi:type="dcterms:W3CDTF">2025-09-12T15:12:00Z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